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8AE6A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杭州益潮汇公益发展中心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首次参加评级并获评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“5A级社会组织”（慈善类民办非企业单位）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5DC243E0">
      <w:r>
        <w:drawing>
          <wp:inline distT="0" distB="0" distL="114300" distR="114300">
            <wp:extent cx="5271770" cy="382397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DE763"/>
    <w:p w14:paraId="73F482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25215"/>
            <wp:effectExtent l="0" t="0" r="6350" b="1905"/>
            <wp:docPr id="2" name="图片 2" descr="f68014a441a3c87bcee5f3fb6dc38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8014a441a3c87bcee5f3fb6dc383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7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2025-02-25T07:02:02Z</dcterms:created>
  <dc:creator>xingshang888</dc:creator>
  <cp:lastModifiedBy>源丁</cp:lastModifiedBy>
  <dcterms:modified xsi:type="dcterms:W3CDTF">2025-02-25T07:05:40Z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eyJoZGlkIjoiNGI1MTU1NmM5N2E3ODIzOTcxZGJhNDU1ZmQ0MzE0NDEiLCJ1c2VySWQiOiIzOTMwNDk3ODIifQ==</vt:lpwstr>
  </property>
  <property fmtid="{D5CDD505-2E9C-101B-9397-08002B2CF9AE}" pid="4" name="ICV">
    <vt:lpwstr>433DBDDB701A489EA0641641A6596C11_12</vt:lpwstr>
  </property>
</Properties>
</file>