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AFE2E">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none"/>
          <w:lang w:val="en-US" w:eastAsia="zh-CN"/>
        </w:rPr>
        <w:t>杭州益潮汇公益发展中心</w:t>
      </w:r>
      <w:r>
        <w:rPr>
          <w:rFonts w:hint="eastAsia" w:asciiTheme="minorEastAsia" w:hAnsiTheme="minorEastAsia" w:eastAsiaTheme="minorEastAsia" w:cstheme="minorEastAsia"/>
          <w:b/>
          <w:sz w:val="24"/>
          <w:szCs w:val="24"/>
        </w:rPr>
        <w:t>财务管理制度</w:t>
      </w:r>
    </w:p>
    <w:p w14:paraId="5D9DA86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sz w:val="24"/>
          <w:szCs w:val="24"/>
        </w:rPr>
      </w:pPr>
    </w:p>
    <w:p w14:paraId="2D5810E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kern w:val="0"/>
          <w:sz w:val="24"/>
          <w:szCs w:val="24"/>
          <w:lang w:val="en-US" w:eastAsia="zh-CN" w:bidi="ar-SA"/>
        </w:rPr>
        <w:t>第一章</w:t>
      </w:r>
      <w:r>
        <w:rPr>
          <w:rFonts w:hint="eastAsia" w:asciiTheme="minorEastAsia" w:hAnsiTheme="minorEastAsia" w:cstheme="minorEastAsia"/>
          <w:b/>
          <w:bCs/>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rPr>
        <w:t>总 则</w:t>
      </w:r>
    </w:p>
    <w:p w14:paraId="7286E83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第一条  </w:t>
      </w:r>
      <w:r>
        <w:rPr>
          <w:rFonts w:hint="eastAsia" w:asciiTheme="minorEastAsia" w:hAnsiTheme="minorEastAsia" w:eastAsiaTheme="minorEastAsia" w:cstheme="minorEastAsia"/>
          <w:color w:val="000000"/>
          <w:sz w:val="24"/>
          <w:szCs w:val="24"/>
        </w:rPr>
        <w:t>为加强财务管理，发挥财务在本组织运营管理中的作用，根据《会计法》、《民间非营利组织会计制度》、《会计基础工作规范》和《会计档案管理办法》等国家有关法律法规和本组织章程的规定，结合本组织具体情况，制定本制度。</w:t>
      </w:r>
    </w:p>
    <w:p w14:paraId="40752439">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第二条  </w:t>
      </w:r>
      <w:r>
        <w:rPr>
          <w:rFonts w:hint="eastAsia" w:asciiTheme="minorEastAsia" w:hAnsiTheme="minorEastAsia" w:eastAsiaTheme="minorEastAsia" w:cstheme="minorEastAsia"/>
          <w:color w:val="000000"/>
          <w:sz w:val="24"/>
          <w:szCs w:val="24"/>
        </w:rPr>
        <w:t>本组织财务工作遵循合法、诚信、尊重资助者意愿、节约高效、公开透明原则。</w:t>
      </w:r>
    </w:p>
    <w:p w14:paraId="14CD78E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第三条  </w:t>
      </w:r>
      <w:r>
        <w:rPr>
          <w:rFonts w:hint="eastAsia" w:asciiTheme="minorEastAsia" w:hAnsiTheme="minorEastAsia" w:eastAsiaTheme="minorEastAsia" w:cstheme="minorEastAsia"/>
          <w:color w:val="000000"/>
          <w:sz w:val="24"/>
          <w:szCs w:val="24"/>
        </w:rPr>
        <w:t>本组织会计核算执行《民间非营利组织会计制度》。</w:t>
      </w:r>
    </w:p>
    <w:p w14:paraId="767C22B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第二章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rPr>
        <w:t>财务人员设置</w:t>
      </w:r>
    </w:p>
    <w:p w14:paraId="05EF657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第四条  </w:t>
      </w:r>
      <w:r>
        <w:rPr>
          <w:rFonts w:hint="eastAsia" w:asciiTheme="minorEastAsia" w:hAnsiTheme="minorEastAsia" w:eastAsiaTheme="minorEastAsia" w:cstheme="minorEastAsia"/>
          <w:color w:val="000000"/>
          <w:sz w:val="24"/>
          <w:szCs w:val="24"/>
        </w:rPr>
        <w:t>本组织</w:t>
      </w:r>
      <w:r>
        <w:rPr>
          <w:rFonts w:hint="eastAsia" w:asciiTheme="minorEastAsia" w:hAnsiTheme="minorEastAsia" w:eastAsiaTheme="minorEastAsia" w:cstheme="minorEastAsia"/>
          <w:color w:val="000000"/>
          <w:sz w:val="24"/>
          <w:szCs w:val="24"/>
          <w:lang w:val="en-US" w:eastAsia="zh-CN"/>
        </w:rPr>
        <w:t>财务工作分</w:t>
      </w:r>
      <w:r>
        <w:rPr>
          <w:rFonts w:hint="eastAsia" w:asciiTheme="minorEastAsia" w:hAnsiTheme="minorEastAsia" w:eastAsiaTheme="minorEastAsia" w:cstheme="minorEastAsia"/>
          <w:color w:val="000000"/>
          <w:sz w:val="24"/>
          <w:szCs w:val="24"/>
        </w:rPr>
        <w:t>设全职出纳一名，出纳在做好本职工作的前提下，可兼任其他非财务工作，但应遵循不相容职务相分离原则。</w:t>
      </w:r>
    </w:p>
    <w:p w14:paraId="4631CF8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第五条  </w:t>
      </w:r>
      <w:r>
        <w:rPr>
          <w:rFonts w:hint="eastAsia" w:asciiTheme="minorEastAsia" w:hAnsiTheme="minorEastAsia" w:eastAsiaTheme="minorEastAsia" w:cstheme="minorEastAsia"/>
          <w:color w:val="000000"/>
          <w:sz w:val="24"/>
          <w:szCs w:val="24"/>
        </w:rPr>
        <w:t>财务人员的工作职责参见《会计岗位职责》和《出纳岗位职责》</w:t>
      </w:r>
      <w:r>
        <w:rPr>
          <w:rFonts w:hint="eastAsia" w:asciiTheme="minorEastAsia" w:hAnsiTheme="minorEastAsia" w:eastAsiaTheme="minorEastAsia" w:cstheme="minorEastAsia"/>
          <w:color w:val="000000"/>
          <w:sz w:val="24"/>
          <w:szCs w:val="24"/>
          <w:lang w:eastAsia="zh-CN"/>
        </w:rPr>
        <w:t>。</w:t>
      </w:r>
    </w:p>
    <w:p w14:paraId="7C112CEB">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第六条  </w:t>
      </w:r>
      <w:r>
        <w:rPr>
          <w:rFonts w:hint="eastAsia" w:asciiTheme="minorEastAsia" w:hAnsiTheme="minorEastAsia" w:eastAsiaTheme="minorEastAsia" w:cstheme="minorEastAsia"/>
          <w:color w:val="000000"/>
          <w:sz w:val="24"/>
          <w:szCs w:val="24"/>
        </w:rPr>
        <w:t>财务人员在办理财务事务中，必须坚持原则，照章办事。对于违反财经纪律和财务制度的事项，有权拒绝付款或拒绝执行。</w:t>
      </w:r>
    </w:p>
    <w:p w14:paraId="5980729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第三章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rPr>
        <w:t>货币资金管理</w:t>
      </w:r>
    </w:p>
    <w:p w14:paraId="3847ADA8">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第七条  </w:t>
      </w:r>
      <w:r>
        <w:rPr>
          <w:rFonts w:hint="eastAsia" w:asciiTheme="minorEastAsia" w:hAnsiTheme="minorEastAsia" w:eastAsiaTheme="minorEastAsia" w:cstheme="minorEastAsia"/>
          <w:color w:val="000000"/>
          <w:sz w:val="24"/>
          <w:szCs w:val="24"/>
        </w:rPr>
        <w:t>本组织应在国家财政规定的现金开支范围支出现金，禁止不合法的白条抵账。</w:t>
      </w:r>
    </w:p>
    <w:p w14:paraId="717739BA">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第八条  </w:t>
      </w:r>
      <w:r>
        <w:rPr>
          <w:rFonts w:hint="eastAsia" w:asciiTheme="minorEastAsia" w:hAnsiTheme="minorEastAsia" w:eastAsiaTheme="minorEastAsia" w:cstheme="minorEastAsia"/>
          <w:color w:val="000000"/>
          <w:sz w:val="24"/>
          <w:szCs w:val="24"/>
        </w:rPr>
        <w:t>各项费用支出均应尽量采取银行结算方式，减少使用现金，以增强财务行为的可复核性。</w:t>
      </w:r>
    </w:p>
    <w:p w14:paraId="25473FE0">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第九条  </w:t>
      </w:r>
      <w:r>
        <w:rPr>
          <w:rFonts w:hint="eastAsia" w:asciiTheme="minorEastAsia" w:hAnsiTheme="minorEastAsia" w:eastAsiaTheme="minorEastAsia" w:cstheme="minorEastAsia"/>
          <w:color w:val="000000"/>
          <w:sz w:val="24"/>
          <w:szCs w:val="24"/>
        </w:rPr>
        <w:t>库存现金余额不超过</w:t>
      </w:r>
      <w:r>
        <w:rPr>
          <w:rFonts w:hint="eastAsia" w:asciiTheme="minorEastAsia" w:hAnsiTheme="minorEastAsia" w:eastAsiaTheme="minorEastAsia" w:cstheme="minorEastAsia"/>
          <w:color w:val="000000"/>
          <w:sz w:val="24"/>
          <w:szCs w:val="24"/>
          <w:lang w:val="en-US" w:eastAsia="zh-CN"/>
        </w:rPr>
        <w:t>10000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color w:val="000000"/>
          <w:sz w:val="24"/>
          <w:szCs w:val="24"/>
        </w:rPr>
        <w:t>。超额部分应存入银行账户。</w:t>
      </w:r>
    </w:p>
    <w:p w14:paraId="498272E3">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第十条  </w:t>
      </w:r>
      <w:r>
        <w:rPr>
          <w:rFonts w:hint="eastAsia" w:asciiTheme="minorEastAsia" w:hAnsiTheme="minorEastAsia" w:eastAsiaTheme="minorEastAsia" w:cstheme="minorEastAsia"/>
          <w:color w:val="000000"/>
          <w:sz w:val="24"/>
          <w:szCs w:val="24"/>
        </w:rPr>
        <w:t>银行账户预留印鉴，网银支付U盾和授权U盾应分开保管，做到相互牵制。</w:t>
      </w:r>
    </w:p>
    <w:p w14:paraId="0F953B45">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第十一条  </w:t>
      </w:r>
      <w:r>
        <w:rPr>
          <w:rFonts w:hint="eastAsia" w:asciiTheme="minorEastAsia" w:hAnsiTheme="minorEastAsia" w:eastAsiaTheme="minorEastAsia" w:cstheme="minorEastAsia"/>
          <w:color w:val="000000"/>
          <w:sz w:val="24"/>
          <w:szCs w:val="24"/>
        </w:rPr>
        <w:t>出纳应对库存现金和银行存款进行盘点，做到账实相符。本组织指定专人定期参与盘查工作，发现账实不符的，应及时查明原因妥善处理。</w:t>
      </w:r>
    </w:p>
    <w:p w14:paraId="325D7FFA">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color w:val="000000"/>
          <w:sz w:val="24"/>
          <w:szCs w:val="24"/>
        </w:rPr>
      </w:pPr>
      <w:bookmarkStart w:id="0" w:name="_Toc271974341"/>
      <w:r>
        <w:rPr>
          <w:rFonts w:hint="eastAsia" w:asciiTheme="minorEastAsia" w:hAnsiTheme="minorEastAsia" w:eastAsiaTheme="minorEastAsia" w:cstheme="minorEastAsia"/>
          <w:b/>
          <w:bCs/>
          <w:color w:val="000000"/>
          <w:kern w:val="0"/>
          <w:sz w:val="24"/>
          <w:szCs w:val="24"/>
          <w:lang w:val="en-US" w:eastAsia="zh-CN" w:bidi="ar-SA"/>
        </w:rPr>
        <w:t>第四章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rPr>
        <w:t>财务印章、支票、收据的管理</w:t>
      </w:r>
      <w:bookmarkEnd w:id="0"/>
    </w:p>
    <w:p w14:paraId="3B2D430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第十二条  </w:t>
      </w:r>
      <w:r>
        <w:rPr>
          <w:rFonts w:hint="eastAsia" w:asciiTheme="minorEastAsia" w:hAnsiTheme="minorEastAsia" w:eastAsiaTheme="minorEastAsia" w:cstheme="minorEastAsia"/>
          <w:color w:val="000000"/>
          <w:sz w:val="24"/>
          <w:szCs w:val="24"/>
        </w:rPr>
        <w:t>财务章、</w:t>
      </w:r>
      <w:r>
        <w:rPr>
          <w:rFonts w:hint="eastAsia" w:asciiTheme="minorEastAsia" w:hAnsiTheme="minorEastAsia" w:eastAsiaTheme="minorEastAsia" w:cstheme="minorEastAsia"/>
          <w:color w:val="auto"/>
          <w:sz w:val="24"/>
          <w:szCs w:val="24"/>
        </w:rPr>
        <w:t>支票由出纳保管，银行预留人名章、支票密码由机构负责人保管。</w:t>
      </w:r>
    </w:p>
    <w:p w14:paraId="2B1A3F03">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第十三条 </w:t>
      </w:r>
      <w:r>
        <w:rPr>
          <w:rFonts w:hint="eastAsia" w:asciiTheme="minorEastAsia" w:hAnsiTheme="minorEastAsia" w:eastAsiaTheme="minorEastAsia" w:cstheme="minorEastAsia"/>
          <w:color w:val="000000"/>
          <w:sz w:val="24"/>
          <w:szCs w:val="24"/>
        </w:rPr>
        <w:t>开具收据应遵守《公益事业捐赠票据使用管理暂行办法》、《发票管理办法》等法律法规的规定。</w:t>
      </w:r>
    </w:p>
    <w:p w14:paraId="3EA510D2">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第十四条 </w:t>
      </w:r>
      <w:r>
        <w:rPr>
          <w:rFonts w:hint="eastAsia" w:asciiTheme="minorEastAsia" w:hAnsiTheme="minorEastAsia" w:eastAsiaTheme="minorEastAsia" w:cstheme="minorEastAsia"/>
          <w:color w:val="000000"/>
          <w:sz w:val="24"/>
          <w:szCs w:val="24"/>
        </w:rPr>
        <w:t>收据统一由出纳开出并签字，收据必须加盖财务章方为有效。所有收入必须全部填开收据，不得遗漏。捐赠人不需要收据的，也应该开具捐赠票据，可将收据联与记账联或与存根联一同保存。</w:t>
      </w:r>
    </w:p>
    <w:p w14:paraId="0533F63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Style w:val="5"/>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第十五条 </w:t>
      </w:r>
      <w:r>
        <w:rPr>
          <w:rFonts w:hint="eastAsia" w:asciiTheme="minorEastAsia" w:hAnsiTheme="minorEastAsia" w:eastAsiaTheme="minorEastAsia" w:cstheme="minorEastAsia"/>
          <w:color w:val="000000"/>
          <w:sz w:val="24"/>
          <w:szCs w:val="24"/>
        </w:rPr>
        <w:t>填写错误的收据不得撕毁，应三联收齐后作废保存。使用完的收据须检查内联是否完整无缺，开具的内容和金额是否准确，检查无误后作为财务资料妥善保存，或待财政部门缴销。</w:t>
      </w:r>
    </w:p>
    <w:p w14:paraId="3E1DCC1B">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bidi="ar-SA"/>
        </w:rPr>
        <w:t>第五章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
          <w:bCs/>
          <w:color w:val="000000"/>
          <w:sz w:val="24"/>
          <w:szCs w:val="24"/>
          <w:lang w:val="en-US" w:eastAsia="zh-CN"/>
        </w:rPr>
        <w:t>票据管理</w:t>
      </w:r>
    </w:p>
    <w:p w14:paraId="67067CAB">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第十六条  </w:t>
      </w:r>
      <w:r>
        <w:rPr>
          <w:rFonts w:hint="eastAsia" w:asciiTheme="minorEastAsia" w:hAnsiTheme="minorEastAsia" w:eastAsiaTheme="minorEastAsia" w:cstheme="minorEastAsia"/>
          <w:color w:val="000000"/>
          <w:sz w:val="24"/>
          <w:szCs w:val="24"/>
          <w:lang w:val="en-US" w:eastAsia="zh-CN"/>
        </w:rPr>
        <w:t>票据，是指汇票、本票和支票。票据活动应当遵守法律、行政法规，不得损害社会公共利益。票据出票人制作票据，应当按照法定条件在票据上签章，并按照所记载的事项承担票据责任。</w:t>
      </w:r>
    </w:p>
    <w:p w14:paraId="52A999EF">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第十七条  </w:t>
      </w:r>
      <w:r>
        <w:rPr>
          <w:rFonts w:hint="eastAsia" w:asciiTheme="minorEastAsia" w:hAnsiTheme="minorEastAsia" w:eastAsiaTheme="minorEastAsia" w:cstheme="minorEastAsia"/>
          <w:color w:val="000000"/>
          <w:sz w:val="24"/>
          <w:szCs w:val="24"/>
          <w:lang w:val="en-US" w:eastAsia="zh-CN"/>
        </w:rPr>
        <w:t>票据上的签章，为签名、盖章或者签名加盖章。法人和其他使用票据的单位在票据上的签章，为该法人或者该单位的盖章加其法定代表人或者其授权的代理人的签章。在票据上的签名，应当为该当事人的本名。票据金额以中文大写和数码同时记载，二者必须一致，二者不一致的，票据无效。</w:t>
      </w:r>
    </w:p>
    <w:p w14:paraId="47107DC7">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第十八条  </w:t>
      </w:r>
      <w:r>
        <w:rPr>
          <w:rFonts w:hint="eastAsia" w:asciiTheme="minorEastAsia" w:hAnsiTheme="minorEastAsia" w:eastAsiaTheme="minorEastAsia" w:cstheme="minorEastAsia"/>
          <w:color w:val="000000"/>
          <w:sz w:val="24"/>
          <w:szCs w:val="24"/>
          <w:lang w:val="en-US" w:eastAsia="zh-CN"/>
        </w:rPr>
        <w:t>票据上的记载事项必须符合本法的规定。票据金额、日期、收款人名称不得更改，更改的票据无效。对票据上的其他记载事项，原记载人可以更改，更改时应当由原记载人签章证明。</w:t>
      </w:r>
    </w:p>
    <w:p w14:paraId="5CB31A97">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第十九条  </w:t>
      </w:r>
      <w:r>
        <w:rPr>
          <w:rFonts w:hint="eastAsia" w:asciiTheme="minorEastAsia" w:hAnsiTheme="minorEastAsia" w:eastAsiaTheme="minorEastAsia" w:cstheme="minorEastAsia"/>
          <w:color w:val="000000"/>
          <w:sz w:val="24"/>
          <w:szCs w:val="24"/>
        </w:rPr>
        <w:t>汇票分为银行汇票和商业汇票。汇票是出票人签发的，委托付款人在见票时或者在指定日期无条件支付确定的金额给收款人或者持票人的票据。汇票的出票人必须与付款人具有真实的委托付款关系，并且具有支付汇票金额的可靠资金来源。不得签发无对价的汇票用以骗取银行或者其他票据当事人的资金。汇票必须记载下列事项：1、表明“汇票”的字样；2、无条件支付的委托；3、确定的金额；4、付款人名称；5、收款人名称；6、出票日期；7、出票人签章。汇票上未记载前款规定事项之一的，汇票无效。汇票上记载付款日期、付款地、出票地等事项的，应当清楚、明确。</w:t>
      </w:r>
    </w:p>
    <w:p w14:paraId="55E58852">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第二十条</w:t>
      </w:r>
      <w:r>
        <w:rPr>
          <w:rFonts w:hint="eastAsia" w:asciiTheme="minorEastAsia" w:hAnsiTheme="minorEastAsia" w:eastAsiaTheme="minorEastAsia" w:cstheme="minorEastAsia"/>
          <w:color w:val="000000"/>
          <w:sz w:val="24"/>
          <w:szCs w:val="24"/>
        </w:rPr>
        <w:t>本票，是指银行本票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本票是出票人签发的，承诺自己在见票时无条件支付确定的金额给收款人或者持票人的票据。本票必须记载下列事项：（一）表明“本票”的字样；（二）无条件支付的承诺；（三）确定的金额；（四）收款人名称；（五）出票日期；（六）出票人签章。本票上未记载前款规定事项之一的，本票无效。本票上记载付款地、出票地等事项的，应当清楚、明确。</w:t>
      </w:r>
    </w:p>
    <w:p w14:paraId="7FCDA8EF">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Style w:val="5"/>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第二十一条  </w:t>
      </w:r>
      <w:r>
        <w:rPr>
          <w:rFonts w:hint="eastAsia" w:asciiTheme="minorEastAsia" w:hAnsiTheme="minorEastAsia" w:eastAsiaTheme="minorEastAsia" w:cstheme="minorEastAsia"/>
          <w:color w:val="000000"/>
          <w:sz w:val="24"/>
          <w:szCs w:val="24"/>
        </w:rPr>
        <w:t>支票是出票人签发的，委托办理支票存款业务的银行或者其他金融机构在见票时无条件支付确定的金额给收款人或者持票人的票据。支票可以支取现金，也可以转账，用于转账时，应当在支票正面注明。支票中专门用于支取现金的，可以另行制作现金支票，现金支票只能用于支取现金。支票中专门用于转账的，可以另行制作转账支票，转账支票只能用于转账，不得支取现金。支票必须记载下列事项：（一）表明“支票”的字样；（二）无条件支付的委托；（三）确定的金额；（四）付款人名称；（五）出票日期；（六）出票人签章。支票上未记载前款规定事项之一的，支票无效。支票的出票人所签发的支票金额不得超过其付款时在付款人处实有的存款金额。出票人签发的支票金额超过其付款时在付款人处实有的存款金额的，为空头支票。禁止签发空头支票。</w:t>
      </w:r>
    </w:p>
    <w:p w14:paraId="5E4DD64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SA"/>
        </w:rPr>
        <w:t>第六章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
          <w:bCs/>
          <w:color w:val="000000"/>
          <w:sz w:val="24"/>
          <w:szCs w:val="24"/>
          <w:lang w:val="en-US" w:eastAsia="zh-CN"/>
        </w:rPr>
        <w:t>投资管理</w:t>
      </w:r>
    </w:p>
    <w:p w14:paraId="24D8BDD8">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第二十二条 </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用于投资的资产限于非限定性资产及暂不需要拨付的限定性资产，原则上不能影响资助及公益活动支出款项的拨付。</w:t>
      </w:r>
    </w:p>
    <w:p w14:paraId="7F296D9B">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第二十三条 </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进行投资应当遵循合法、安全、有效的原则。</w:t>
      </w:r>
    </w:p>
    <w:p w14:paraId="356F561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第二十四条 </w:t>
      </w:r>
      <w:r>
        <w:rPr>
          <w:rFonts w:hint="eastAsia" w:asciiTheme="minorEastAsia" w:hAnsiTheme="minorEastAsia" w:eastAsiaTheme="minorEastAsia" w:cstheme="minorEastAsia"/>
          <w:sz w:val="24"/>
          <w:szCs w:val="24"/>
        </w:rPr>
        <w:t>对外投资必须进行可行性论证，重大投资活动，按章程规定 由理事会会议决定。理事会违反《</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管理条例》和章程规定决策不当，致 使</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遭受财产损失的，参与决策的理事应当承担相应的赔偿责任。</w:t>
      </w:r>
    </w:p>
    <w:p w14:paraId="6E66BFF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第二十五条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进行委托投资，应当委托银行或者其他金融机构进行。</w:t>
      </w:r>
    </w:p>
    <w:p w14:paraId="65E502EC">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2" w:firstLineChars="200"/>
        <w:jc w:val="center"/>
        <w:textAlignment w:val="auto"/>
        <w:rPr>
          <w:rStyle w:val="5"/>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bidi="ar-SA"/>
        </w:rPr>
        <w:t xml:space="preserve">第七章  </w:t>
      </w:r>
      <w:r>
        <w:rPr>
          <w:rStyle w:val="5"/>
          <w:rFonts w:hint="eastAsia" w:asciiTheme="minorEastAsia" w:hAnsiTheme="minorEastAsia" w:eastAsiaTheme="minorEastAsia" w:cstheme="minorEastAsia"/>
          <w:b/>
          <w:bCs/>
          <w:color w:val="000000"/>
          <w:sz w:val="24"/>
          <w:szCs w:val="24"/>
          <w:lang w:val="en-US" w:eastAsia="zh-CN"/>
        </w:rPr>
        <w:t>预算管理</w:t>
      </w:r>
    </w:p>
    <w:p w14:paraId="1CFFE9C4">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第二十六条 </w:t>
      </w:r>
      <w:r>
        <w:rPr>
          <w:rFonts w:hint="eastAsia" w:asciiTheme="minorEastAsia" w:hAnsiTheme="minorEastAsia" w:eastAsiaTheme="minorEastAsia" w:cstheme="minorEastAsia"/>
          <w:color w:val="000000"/>
          <w:sz w:val="24"/>
          <w:szCs w:val="24"/>
          <w:lang w:val="en-US" w:eastAsia="zh-CN"/>
        </w:rPr>
        <w:t>收入预算的编制：收入包括捐赠收入、投资收益、利息收入以及其他收入，由财务部同有关部门根据相关合同、协议、往年实际收入的变化趋势和结合本年度有关因素进行测算。</w:t>
      </w:r>
    </w:p>
    <w:p w14:paraId="10FAE92B">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第二十七条 </w:t>
      </w:r>
      <w:r>
        <w:rPr>
          <w:rFonts w:hint="eastAsia" w:asciiTheme="minorEastAsia" w:hAnsiTheme="minorEastAsia" w:eastAsiaTheme="minorEastAsia" w:cstheme="minorEastAsia"/>
          <w:color w:val="000000"/>
          <w:sz w:val="24"/>
          <w:szCs w:val="24"/>
          <w:lang w:val="en-US" w:eastAsia="zh-CN"/>
        </w:rPr>
        <w:t>支出预算的编制：支出预算以收入预算为基础，量入为出，原则上不做赤字预算。支出预算包括公益事业支出、管理费支出、其他支出等。在收支平衡的基础上，进行编制支出预算。</w:t>
      </w:r>
    </w:p>
    <w:p w14:paraId="5FE0FD74">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第二十八条 </w:t>
      </w:r>
      <w:r>
        <w:rPr>
          <w:rFonts w:hint="eastAsia" w:asciiTheme="minorEastAsia" w:hAnsiTheme="minorEastAsia" w:eastAsiaTheme="minorEastAsia" w:cstheme="minorEastAsia"/>
          <w:color w:val="000000"/>
          <w:sz w:val="24"/>
          <w:szCs w:val="24"/>
          <w:lang w:val="en-US" w:eastAsia="zh-CN"/>
        </w:rPr>
        <w:t>预算执行：定期对预算执行情况进行检查和分析，及时掌握预算收支执行情况和目标管理落实情况，及时将预算执行过程中出现的特殊情况或重大事项向理事会汇报，积极采取措施，改进工作。</w:t>
      </w:r>
    </w:p>
    <w:p w14:paraId="1A6209A5">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第二十九条 </w:t>
      </w:r>
      <w:r>
        <w:rPr>
          <w:rFonts w:hint="eastAsia" w:asciiTheme="minorEastAsia" w:hAnsiTheme="minorEastAsia" w:eastAsiaTheme="minorEastAsia" w:cstheme="minorEastAsia"/>
          <w:color w:val="000000"/>
          <w:sz w:val="24"/>
          <w:szCs w:val="24"/>
          <w:lang w:val="en-US" w:eastAsia="zh-CN"/>
        </w:rPr>
        <w:t>决算编制：根据民政部及相关部门的要求，编制年度决算报表，应做到收支真实，数额准确、内容完整、报送及时。</w:t>
      </w:r>
    </w:p>
    <w:p w14:paraId="2D11E476">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第八章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
          <w:bCs/>
          <w:color w:val="000000"/>
          <w:sz w:val="24"/>
          <w:szCs w:val="24"/>
        </w:rPr>
        <w:t>收入管理</w:t>
      </w:r>
    </w:p>
    <w:p w14:paraId="626D3A95">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第三十条</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秘书处须编制年度收入预算，经理事会审议通过后执行。</w:t>
      </w:r>
    </w:p>
    <w:p w14:paraId="323CDC66">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第三十一条</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设立专用的人民币账户。所有捐赠资金均应进入</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账户，由</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统一进行会计核算，接受捐赠后，向捐赠人出具合法、有效的捐赠票据。</w:t>
      </w:r>
    </w:p>
    <w:p w14:paraId="13C76825">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第三十二条</w:t>
      </w:r>
      <w:r>
        <w:rPr>
          <w:rFonts w:hint="eastAsia" w:asciiTheme="minorEastAsia" w:hAnsiTheme="minorEastAsia" w:eastAsiaTheme="minorEastAsia" w:cstheme="minorEastAsia"/>
          <w:color w:val="000000"/>
          <w:sz w:val="24"/>
          <w:szCs w:val="24"/>
          <w:lang w:val="en-US" w:eastAsia="zh-CN"/>
        </w:rPr>
        <w:t>定向</w:t>
      </w:r>
      <w:r>
        <w:rPr>
          <w:rFonts w:hint="eastAsia" w:asciiTheme="minorEastAsia" w:hAnsiTheme="minorEastAsia" w:eastAsiaTheme="minorEastAsia" w:cstheme="minorEastAsia"/>
          <w:color w:val="000000"/>
          <w:sz w:val="24"/>
          <w:szCs w:val="24"/>
        </w:rPr>
        <w:t>捐赠进入</w:t>
      </w:r>
      <w:r>
        <w:rPr>
          <w:rFonts w:hint="eastAsia" w:asciiTheme="minorEastAsia" w:hAnsiTheme="minorEastAsia" w:eastAsiaTheme="minorEastAsia" w:cstheme="minorEastAsia"/>
          <w:color w:val="000000"/>
          <w:sz w:val="24"/>
          <w:szCs w:val="24"/>
          <w:lang w:val="en-US" w:eastAsia="zh-CN"/>
        </w:rPr>
        <w:t>本组织项目</w:t>
      </w:r>
      <w:r>
        <w:rPr>
          <w:rFonts w:hint="eastAsia" w:asciiTheme="minorEastAsia" w:hAnsiTheme="minorEastAsia" w:eastAsiaTheme="minorEastAsia" w:cstheme="minorEastAsia"/>
          <w:color w:val="000000"/>
          <w:sz w:val="24"/>
          <w:szCs w:val="24"/>
        </w:rPr>
        <w:t>专用账户后，设立单独的项目进行核算和管理。</w:t>
      </w:r>
    </w:p>
    <w:p w14:paraId="1EAA2C21">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第三十三条</w:t>
      </w:r>
      <w:r>
        <w:rPr>
          <w:rFonts w:hint="eastAsia" w:asciiTheme="minorEastAsia" w:hAnsiTheme="minorEastAsia" w:eastAsiaTheme="minorEastAsia" w:cstheme="minorEastAsia"/>
          <w:color w:val="000000"/>
          <w:sz w:val="24"/>
          <w:szCs w:val="24"/>
        </w:rPr>
        <w:t xml:space="preserve"> 接受的金融产品捐赠如股票、债券、基金等，应及时办理过户或变现划入</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专用账户。</w:t>
      </w:r>
    </w:p>
    <w:p w14:paraId="28F7B119">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第三十四条  </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接受非现金捐赠，应当在实际收到并确认公允价值后开具捐赠票据。受赠财产未经</w:t>
      </w:r>
      <w:r>
        <w:rPr>
          <w:rFonts w:hint="eastAsia" w:asciiTheme="minorEastAsia" w:hAnsiTheme="minorEastAsia" w:eastAsiaTheme="minorEastAsia" w:cstheme="minorEastAsia"/>
          <w:color w:val="000000"/>
          <w:sz w:val="24"/>
          <w:szCs w:val="24"/>
          <w:lang w:val="en-US" w:eastAsia="zh-CN"/>
        </w:rPr>
        <w:t>组织</w:t>
      </w:r>
      <w:r>
        <w:rPr>
          <w:rFonts w:hint="eastAsia" w:asciiTheme="minorEastAsia" w:hAnsiTheme="minorEastAsia" w:eastAsiaTheme="minorEastAsia" w:cstheme="minorEastAsia"/>
          <w:color w:val="000000"/>
          <w:sz w:val="24"/>
          <w:szCs w:val="24"/>
        </w:rPr>
        <w:t>验收确认，由捐赠人直接转移给受助人或者其他第三方的，不得作为</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的捐赠收入，不得开具捐赠票据。</w:t>
      </w:r>
    </w:p>
    <w:p w14:paraId="2B272190">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第三十五条  </w:t>
      </w:r>
      <w:r>
        <w:rPr>
          <w:rFonts w:hint="eastAsia" w:asciiTheme="minorEastAsia" w:hAnsiTheme="minorEastAsia" w:eastAsiaTheme="minorEastAsia" w:cstheme="minorEastAsia"/>
          <w:color w:val="000000"/>
          <w:sz w:val="24"/>
          <w:szCs w:val="24"/>
          <w:lang w:val="en-US" w:eastAsia="zh-CN"/>
        </w:rPr>
        <w:t>本单位</w:t>
      </w:r>
      <w:r>
        <w:rPr>
          <w:rFonts w:hint="eastAsia" w:asciiTheme="minorEastAsia" w:hAnsiTheme="minorEastAsia" w:eastAsiaTheme="minorEastAsia" w:cstheme="minorEastAsia"/>
          <w:color w:val="000000"/>
          <w:sz w:val="24"/>
          <w:szCs w:val="24"/>
        </w:rPr>
        <w:t>接受非现金捐赠时，在捐赠人提供了发票、报关单或其他凭据的情况下，应当以相关凭据作为确认入账价值的依据；在捐赠方不能提供凭据的情况下，应以其他确认捐赠财产的证明，作为确认入账价值的依据。</w:t>
      </w:r>
    </w:p>
    <w:p w14:paraId="692FD01A">
      <w:pPr>
        <w:pStyle w:val="2"/>
        <w:keepNext w:val="0"/>
        <w:keepLines w:val="0"/>
        <w:pageBreakBefore w:val="0"/>
        <w:numPr>
          <w:ilvl w:val="0"/>
          <w:numId w:val="0"/>
        </w:numPr>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color w:val="000000"/>
          <w:kern w:val="0"/>
          <w:sz w:val="24"/>
          <w:szCs w:val="24"/>
          <w:lang w:val="en-US" w:eastAsia="zh-CN" w:bidi="ar-SA"/>
        </w:rPr>
        <w:t xml:space="preserve">第三十六条  </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接受捐赠的固定资产、股权、无形资产、文物文化资产，没有发票、报关单或其他凭据作为入账依据的，应当以具有合法资质的第三方机构的评估作为确认入账价值的依据。无法评估或经评估无法确认价格的，</w:t>
      </w:r>
      <w:r>
        <w:rPr>
          <w:rFonts w:hint="eastAsia" w:asciiTheme="minorEastAsia" w:hAnsiTheme="minorEastAsia" w:eastAsiaTheme="minorEastAsia" w:cstheme="minorEastAsia"/>
          <w:color w:val="000000"/>
          <w:sz w:val="24"/>
          <w:szCs w:val="24"/>
          <w:lang w:val="en-US" w:eastAsia="zh-CN"/>
        </w:rPr>
        <w:t>本组织</w:t>
      </w:r>
      <w:r>
        <w:rPr>
          <w:rFonts w:hint="eastAsia" w:asciiTheme="minorEastAsia" w:hAnsiTheme="minorEastAsia" w:eastAsiaTheme="minorEastAsia" w:cstheme="minorEastAsia"/>
          <w:color w:val="000000"/>
          <w:sz w:val="24"/>
          <w:szCs w:val="24"/>
        </w:rPr>
        <w:t>不得计入捐赠收入，不得开具捐赠票据，应当另外造册登记。</w:t>
      </w:r>
    </w:p>
    <w:p w14:paraId="45572533">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第九章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lang w:val="en-US" w:eastAsia="zh-CN"/>
        </w:rPr>
        <w:t>支出管理</w:t>
      </w:r>
    </w:p>
    <w:p w14:paraId="0AA51ACE">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第三十七条  </w:t>
      </w:r>
      <w:r>
        <w:rPr>
          <w:rFonts w:hint="eastAsia" w:asciiTheme="minorEastAsia" w:hAnsiTheme="minorEastAsia" w:eastAsiaTheme="minorEastAsia" w:cstheme="minorEastAsia"/>
          <w:color w:val="000000"/>
          <w:sz w:val="24"/>
          <w:szCs w:val="24"/>
        </w:rPr>
        <w:t>本组织所有的支出需经机构负责人审批。机构负责人经手的费用支出，需经</w:t>
      </w:r>
      <w:r>
        <w:rPr>
          <w:rFonts w:hint="eastAsia" w:asciiTheme="minorEastAsia" w:hAnsiTheme="minorEastAsia" w:eastAsiaTheme="minorEastAsia" w:cstheme="minorEastAsia"/>
          <w:color w:val="000000"/>
          <w:sz w:val="24"/>
          <w:szCs w:val="24"/>
          <w:lang w:val="en-US" w:eastAsia="zh-CN"/>
        </w:rPr>
        <w:t>专人</w:t>
      </w:r>
      <w:r>
        <w:rPr>
          <w:rFonts w:hint="eastAsia" w:asciiTheme="minorEastAsia" w:hAnsiTheme="minorEastAsia" w:eastAsiaTheme="minorEastAsia" w:cstheme="minorEastAsia"/>
          <w:color w:val="000000"/>
          <w:sz w:val="24"/>
          <w:szCs w:val="24"/>
        </w:rPr>
        <w:t>审</w:t>
      </w:r>
      <w:r>
        <w:rPr>
          <w:rFonts w:hint="eastAsia" w:asciiTheme="minorEastAsia" w:hAnsiTheme="minorEastAsia" w:eastAsiaTheme="minorEastAsia" w:cstheme="minorEastAsia"/>
          <w:sz w:val="24"/>
          <w:szCs w:val="24"/>
        </w:rPr>
        <w:t>批。</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万元以下由机构负责人审批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万元以上由理事会审批。</w:t>
      </w:r>
    </w:p>
    <w:p w14:paraId="3BCDB6B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第三十八条  </w:t>
      </w:r>
      <w:r>
        <w:rPr>
          <w:rFonts w:hint="eastAsia" w:asciiTheme="minorEastAsia" w:hAnsiTheme="minorEastAsia" w:eastAsiaTheme="minorEastAsia" w:cstheme="minorEastAsia"/>
          <w:sz w:val="24"/>
          <w:szCs w:val="24"/>
        </w:rPr>
        <w:t>支出报销审批流程：</w:t>
      </w:r>
    </w:p>
    <w:p w14:paraId="27B285A3">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1、</w:t>
      </w:r>
      <w:r>
        <w:rPr>
          <w:rFonts w:hint="eastAsia" w:asciiTheme="minorEastAsia" w:hAnsiTheme="minorEastAsia" w:eastAsiaTheme="minorEastAsia" w:cstheme="minorEastAsia"/>
          <w:sz w:val="24"/>
          <w:szCs w:val="24"/>
        </w:rPr>
        <w:t>经手人填写《费用报销单》（出差报销需填写《差旅费报销单》）（以下统称：报销单），注明支出事由、金额、原始票据数量等基本信息，并在经手人处签字，将所有票据粘在票据粘贴单上。如果支出有证明人，证明人也需在报销单上签字。如果支出为项目款，经手人必须标明项目的名称及预算项。</w:t>
      </w:r>
    </w:p>
    <w:p w14:paraId="7B394D53">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sz w:val="24"/>
          <w:szCs w:val="24"/>
        </w:rPr>
        <w:t>经手人将填写完整的报销单交项目负责人复核。项目负责人需审核支出是否归于该项目，是否符合预算标准，是否超出预算金额或预算范围。审核无误后签字确认。项目负责人复核后交由本机构负责人审批。</w:t>
      </w:r>
    </w:p>
    <w:p w14:paraId="05D7C64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经手人持经机构负责人审批的报销单到出纳处报销。出纳在报销前需审核票据是否合法，金额是否准确，是否符合机构财务制度和年度预算要求等。审核无误后签字、付款。审核中发现有问题的，有权退回经手人重新填写。对于违反财务规定的支出，有权拒绝予以报销。</w:t>
      </w:r>
    </w:p>
    <w:p w14:paraId="07809D4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第三十九条 </w:t>
      </w:r>
      <w:r>
        <w:rPr>
          <w:rFonts w:hint="eastAsia" w:asciiTheme="minorEastAsia" w:hAnsiTheme="minorEastAsia" w:eastAsiaTheme="minorEastAsia" w:cstheme="minorEastAsia"/>
          <w:sz w:val="24"/>
          <w:szCs w:val="24"/>
        </w:rPr>
        <w:t>工作人员报销费用应当填制费用报销单。</w:t>
      </w:r>
    </w:p>
    <w:p w14:paraId="0A3E793B">
      <w:pPr>
        <w:pStyle w:val="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用报销单与原始票据（如发票与电脑小票、酒店结算单、验收单等）的内容、金额应当一致。填有大写和小写金额的凭证，大小写金额必须相符，在金额数字前必须有“人民币”或“￥”字样，填写须用规范字；金额未到分的，后面要加“整”字，金额与“人民币”或“￥”字之间不得有空隙。</w:t>
      </w:r>
    </w:p>
    <w:p w14:paraId="7D4A5445">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第四十条  </w:t>
      </w:r>
      <w:r>
        <w:rPr>
          <w:rFonts w:hint="eastAsia" w:asciiTheme="minorEastAsia" w:hAnsiTheme="minorEastAsia" w:eastAsiaTheme="minorEastAsia" w:cstheme="minorEastAsia"/>
          <w:sz w:val="24"/>
          <w:szCs w:val="24"/>
        </w:rPr>
        <w:t>原始票据及相关要求：</w:t>
      </w:r>
    </w:p>
    <w:p w14:paraId="752D14CE">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1、</w:t>
      </w:r>
      <w:r>
        <w:rPr>
          <w:rFonts w:hint="eastAsia" w:asciiTheme="minorEastAsia" w:hAnsiTheme="minorEastAsia" w:eastAsiaTheme="minorEastAsia" w:cstheme="minorEastAsia"/>
          <w:sz w:val="24"/>
          <w:szCs w:val="24"/>
        </w:rPr>
        <w:t>所有支出应当取得原始票据，且保证原始票据真实、有效。原始票据必须填写本组织全称</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税号。</w:t>
      </w:r>
    </w:p>
    <w:p w14:paraId="0430E56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sz w:val="24"/>
          <w:szCs w:val="24"/>
        </w:rPr>
        <w:t>原始票据包括发票、行政事业性收费收据、捐赠收据等，同时还包括与支出相关的购物明细单等，具体参见以下内容。以网银支付相关款项时，需附银行回单，作为报销凭据之一附于报销单后。</w:t>
      </w:r>
    </w:p>
    <w:p w14:paraId="055701F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发生酒店会议产生住宿结算时，如对方发票未写明清晰的信息（如住宿人数/天数等），需要酒店提供详细结算清单（如流水单），特殊情况下，需结算人员在发票后面写明详细结算信息（房数/天数/单价及人员等）。</w:t>
      </w:r>
    </w:p>
    <w:p w14:paraId="346990F3">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4、票据丢失原则上不予报销。</w:t>
      </w:r>
    </w:p>
    <w:p w14:paraId="14D323C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bCs w:val="0"/>
          <w:color w:val="000000"/>
          <w:sz w:val="24"/>
          <w:szCs w:val="24"/>
        </w:rPr>
      </w:pPr>
      <w:bookmarkStart w:id="1" w:name="_Toc271974344"/>
      <w:r>
        <w:rPr>
          <w:rFonts w:hint="eastAsia" w:asciiTheme="minorEastAsia" w:hAnsiTheme="minorEastAsia" w:eastAsiaTheme="minorEastAsia" w:cstheme="minorEastAsia"/>
          <w:b/>
          <w:bCs/>
          <w:color w:val="000000"/>
          <w:kern w:val="0"/>
          <w:sz w:val="24"/>
          <w:szCs w:val="24"/>
          <w:lang w:val="en-US" w:eastAsia="zh-CN" w:bidi="ar-SA"/>
        </w:rPr>
        <w:t>第十章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Cs w:val="0"/>
          <w:color w:val="000000"/>
          <w:sz w:val="24"/>
          <w:szCs w:val="24"/>
        </w:rPr>
        <w:t>借款制度</w:t>
      </w:r>
      <w:bookmarkEnd w:id="1"/>
    </w:p>
    <w:p w14:paraId="0281961E">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第四十一条  </w:t>
      </w:r>
      <w:r>
        <w:rPr>
          <w:rFonts w:hint="eastAsia" w:asciiTheme="minorEastAsia" w:hAnsiTheme="minorEastAsia" w:eastAsiaTheme="minorEastAsia" w:cstheme="minorEastAsia"/>
          <w:sz w:val="24"/>
          <w:szCs w:val="24"/>
        </w:rPr>
        <w:t>所有借款必须填写借款单，经机构负责人审批后出纳方可付款。</w:t>
      </w:r>
    </w:p>
    <w:p w14:paraId="0EDD362C">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第四十二条  </w:t>
      </w:r>
      <w:r>
        <w:rPr>
          <w:rFonts w:hint="eastAsia" w:asciiTheme="minorEastAsia" w:hAnsiTheme="minorEastAsia" w:eastAsiaTheme="minorEastAsia" w:cstheme="minorEastAsia"/>
          <w:sz w:val="24"/>
          <w:szCs w:val="24"/>
        </w:rPr>
        <w:t>原则上前次借款未结清的，不得再次借款。</w:t>
      </w:r>
    </w:p>
    <w:p w14:paraId="1A93E8C9">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第十一章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
          <w:bCs/>
          <w:color w:val="000000"/>
          <w:sz w:val="24"/>
          <w:szCs w:val="24"/>
        </w:rPr>
        <w:t>固定资产管理</w:t>
      </w:r>
    </w:p>
    <w:p w14:paraId="7B61C648">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第四十三条</w:t>
      </w:r>
      <w:r>
        <w:rPr>
          <w:rFonts w:hint="eastAsia" w:asciiTheme="minorEastAsia" w:hAnsiTheme="minorEastAsia" w:eastAsiaTheme="minorEastAsia" w:cstheme="minorEastAsia"/>
          <w:sz w:val="24"/>
          <w:szCs w:val="24"/>
        </w:rPr>
        <w:t xml:space="preserve"> 固定资产的标准</w:t>
      </w:r>
    </w:p>
    <w:p w14:paraId="6D075CEA">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单位价值在2000元以上，且使用年限在1年以上，在使用过程中 基本保持原有实物形态的房屋、建筑物、交通运输工具、办公家具、电子设备等。</w:t>
      </w:r>
    </w:p>
    <w:p w14:paraId="59EEB9B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接受捐赠的固定资产，捐赠方提供了有关凭据的，按凭据上所标 明的金额，作为捐赠固定资产的价值，原则上不高于同类产品的公允价格。 如捐赠方没有提供有关凭据的，按同类或类似固定资产的市场价格，作为捐赠固定资产的价值。如受赠的系旧的固定资产，按账面净值作为捐赠固定资产的价值。</w:t>
      </w:r>
    </w:p>
    <w:p w14:paraId="62B809E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盘盈的固定资产，按同类或类似固定资产的市场价格，作为盘盈的固定资产的价值。</w:t>
      </w:r>
    </w:p>
    <w:p w14:paraId="2C08FFD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第四十四条  </w:t>
      </w:r>
      <w:r>
        <w:rPr>
          <w:rFonts w:hint="eastAsia" w:asciiTheme="minorEastAsia" w:hAnsiTheme="minorEastAsia" w:eastAsiaTheme="minorEastAsia" w:cstheme="minorEastAsia"/>
          <w:sz w:val="24"/>
          <w:szCs w:val="24"/>
        </w:rPr>
        <w:t>固定资产折旧方法：固定资产折旧采用直线法。</w:t>
      </w:r>
    </w:p>
    <w:p w14:paraId="796208C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第四十五条 </w:t>
      </w:r>
      <w:r>
        <w:rPr>
          <w:rFonts w:hint="eastAsia" w:asciiTheme="minorEastAsia" w:hAnsiTheme="minorEastAsia" w:eastAsiaTheme="minorEastAsia" w:cstheme="minorEastAsia"/>
          <w:sz w:val="24"/>
          <w:szCs w:val="24"/>
        </w:rPr>
        <w:t>固定资产的残值率为5%。固定资产提完折旧还可继续使用的，不再计提折旧；提前报废的固定资产要提足折旧。</w:t>
      </w:r>
    </w:p>
    <w:p w14:paraId="1C0AE64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第四十六条</w:t>
      </w:r>
      <w:r>
        <w:rPr>
          <w:rFonts w:hint="eastAsia" w:asciiTheme="minorEastAsia" w:hAnsiTheme="minorEastAsia" w:eastAsiaTheme="minorEastAsia" w:cstheme="minorEastAsia"/>
          <w:sz w:val="24"/>
          <w:szCs w:val="24"/>
        </w:rPr>
        <w:t xml:space="preserve"> 负责固定资产核算工作，设置固定资产总账、分类 账、明细账，按固定资产的类别进行核算。固定资产的购入、清理、报废等 均须办理会计手续。</w:t>
      </w:r>
    </w:p>
    <w:p w14:paraId="198B779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第四十七条 </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办公室是固定资产实物管理部门，负责固定资产的 验收、领用、清查盘点、保管、维修、处置等各项工作。</w:t>
      </w:r>
    </w:p>
    <w:p w14:paraId="321C658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第十二章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b/>
          <w:bCs/>
          <w:color w:val="000000"/>
          <w:sz w:val="24"/>
          <w:szCs w:val="24"/>
        </w:rPr>
        <w:t>其他资产管理</w:t>
      </w:r>
    </w:p>
    <w:p w14:paraId="3CC174F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第四十八条  </w:t>
      </w:r>
      <w:r>
        <w:rPr>
          <w:rFonts w:hint="eastAsia" w:asciiTheme="minorEastAsia" w:hAnsiTheme="minorEastAsia" w:eastAsiaTheme="minorEastAsia" w:cstheme="minorEastAsia"/>
          <w:sz w:val="24"/>
          <w:szCs w:val="24"/>
        </w:rPr>
        <w:t>无形资产管理，无形资产包括：专利权、非专利技术、商标权、著作权、土地使用权等。无形资产应当自取得当月起在预计使用年限内分期平均摊销。</w:t>
      </w:r>
    </w:p>
    <w:p w14:paraId="452D76E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第四十九条 </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不得将本</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的名称，公益项目品牌等其他应当用于公益目的的无形资产用于非公益目的。</w:t>
      </w:r>
    </w:p>
    <w:p w14:paraId="74B00DB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第五十条 </w:t>
      </w:r>
      <w:r>
        <w:rPr>
          <w:rFonts w:hint="eastAsia" w:asciiTheme="minorEastAsia" w:hAnsiTheme="minorEastAsia" w:eastAsiaTheme="minorEastAsia" w:cstheme="minorEastAsia"/>
          <w:sz w:val="24"/>
          <w:szCs w:val="24"/>
        </w:rPr>
        <w:t>受托代理资产。受托代理资产，是会从委托方收到受托资产，并按照委托人的意愿将资产转赠给指定的其他</w:t>
      </w:r>
      <w:r>
        <w:rPr>
          <w:rFonts w:hint="eastAsia" w:asciiTheme="minorEastAsia" w:hAnsiTheme="minorEastAsia" w:eastAsiaTheme="minorEastAsia" w:cstheme="minorEastAsia"/>
          <w:sz w:val="24"/>
          <w:szCs w:val="24"/>
          <w:lang w:eastAsia="zh-CN"/>
        </w:rPr>
        <w:t>组织</w:t>
      </w:r>
      <w:r>
        <w:rPr>
          <w:rFonts w:hint="eastAsia" w:asciiTheme="minorEastAsia" w:hAnsiTheme="minorEastAsia" w:eastAsiaTheme="minorEastAsia" w:cstheme="minorEastAsia"/>
          <w:sz w:val="24"/>
          <w:szCs w:val="24"/>
        </w:rPr>
        <w:t>或者个人，</w:t>
      </w:r>
      <w:r>
        <w:rPr>
          <w:rFonts w:hint="eastAsia" w:asciiTheme="minorEastAsia" w:hAnsiTheme="minorEastAsia" w:cstheme="minorEastAsia"/>
          <w:sz w:val="24"/>
          <w:szCs w:val="24"/>
          <w:lang w:eastAsia="zh-CN"/>
        </w:rPr>
        <w:t>组织</w:t>
      </w:r>
      <w:r>
        <w:rPr>
          <w:rFonts w:hint="eastAsia" w:asciiTheme="minorEastAsia" w:hAnsiTheme="minorEastAsia" w:eastAsiaTheme="minorEastAsia" w:cstheme="minorEastAsia"/>
          <w:sz w:val="24"/>
          <w:szCs w:val="24"/>
        </w:rPr>
        <w:t>本身并不拥有受托资产的所有权和使用权，它只是在交易过程中起中介作 用。在业务活动中要严格区分受托代理资产和限定性收入的界限。受托代理资产不能开具捐赠票据，不能列入捐赠收入。</w:t>
      </w:r>
    </w:p>
    <w:p w14:paraId="00C1957D">
      <w:pPr>
        <w:pStyle w:val="2"/>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b/>
          <w:bCs/>
          <w:color w:val="000000"/>
          <w:sz w:val="24"/>
          <w:szCs w:val="24"/>
        </w:rPr>
      </w:pPr>
      <w:r>
        <w:rPr>
          <w:rStyle w:val="5"/>
          <w:rFonts w:hint="eastAsia" w:asciiTheme="minorEastAsia" w:hAnsiTheme="minorEastAsia" w:eastAsiaTheme="minorEastAsia" w:cstheme="minorEastAsia"/>
          <w:b/>
          <w:bCs/>
          <w:color w:val="000000"/>
          <w:sz w:val="24"/>
          <w:szCs w:val="24"/>
        </w:rPr>
        <w:t>项目财务管理</w:t>
      </w:r>
    </w:p>
    <w:p w14:paraId="06FED38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第五十一条  </w:t>
      </w:r>
      <w:r>
        <w:rPr>
          <w:rFonts w:hint="eastAsia" w:asciiTheme="minorEastAsia" w:hAnsiTheme="minorEastAsia" w:eastAsiaTheme="minorEastAsia" w:cstheme="minorEastAsia"/>
          <w:color w:val="000000"/>
          <w:sz w:val="24"/>
          <w:szCs w:val="24"/>
        </w:rPr>
        <w:t>本组织</w:t>
      </w:r>
      <w:r>
        <w:rPr>
          <w:rFonts w:hint="eastAsia" w:asciiTheme="minorEastAsia" w:hAnsiTheme="minorEastAsia" w:eastAsiaTheme="minorEastAsia" w:cstheme="minorEastAsia"/>
          <w:sz w:val="24"/>
          <w:szCs w:val="24"/>
        </w:rPr>
        <w:t>财务管理的原则是：贯彻、执行国家有关法律、法规和各项规章制度；严格执行《民间非营利组织会计制度》；在章程规定的宗旨和公益活动的业务范围内组织募捐、接受捐赠收入、开展公益活动资助项目；在合法、安全、有效的前提下进行资金的投资运作，以支持公益事业发展和</w:t>
      </w:r>
      <w:r>
        <w:rPr>
          <w:rFonts w:hint="eastAsia" w:asciiTheme="minorEastAsia" w:hAnsiTheme="minorEastAsia" w:cstheme="minorEastAsia"/>
          <w:sz w:val="24"/>
          <w:szCs w:val="24"/>
          <w:lang w:eastAsia="zh-CN"/>
        </w:rPr>
        <w:t>组织</w:t>
      </w:r>
      <w:r>
        <w:rPr>
          <w:rFonts w:hint="eastAsia" w:asciiTheme="minorEastAsia" w:hAnsiTheme="minorEastAsia" w:eastAsiaTheme="minorEastAsia" w:cstheme="minorEastAsia"/>
          <w:sz w:val="24"/>
          <w:szCs w:val="24"/>
        </w:rPr>
        <w:t>工作的顺利开展。</w:t>
      </w:r>
    </w:p>
    <w:p w14:paraId="21B2A48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第五十二条 </w:t>
      </w:r>
      <w:r>
        <w:rPr>
          <w:rFonts w:hint="eastAsia" w:asciiTheme="minorEastAsia" w:hAnsiTheme="minorEastAsia" w:eastAsiaTheme="minorEastAsia" w:cstheme="minorEastAsia"/>
          <w:color w:val="000000"/>
          <w:sz w:val="24"/>
          <w:szCs w:val="24"/>
        </w:rPr>
        <w:t>本组织</w:t>
      </w:r>
      <w:r>
        <w:rPr>
          <w:rFonts w:hint="eastAsia" w:asciiTheme="minorEastAsia" w:hAnsiTheme="minorEastAsia" w:eastAsiaTheme="minorEastAsia" w:cstheme="minorEastAsia"/>
          <w:sz w:val="24"/>
          <w:szCs w:val="24"/>
        </w:rPr>
        <w:t>及其捐赠人、受益人依照法律、法规的规定享受税收优惠。</w:t>
      </w:r>
    </w:p>
    <w:p w14:paraId="717A4468">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第五十三条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项目执行单位及项目负责人是经费使用和管理的主要责任人。</w:t>
      </w:r>
      <w:r>
        <w:rPr>
          <w:rFonts w:hint="eastAsia" w:asciiTheme="minorEastAsia" w:hAnsiTheme="minorEastAsia" w:eastAsiaTheme="minorEastAsia" w:cstheme="minorEastAsia"/>
          <w:color w:val="000000"/>
          <w:sz w:val="24"/>
          <w:szCs w:val="24"/>
        </w:rPr>
        <w:t>本组织</w:t>
      </w:r>
      <w:r>
        <w:rPr>
          <w:rFonts w:hint="eastAsia" w:asciiTheme="minorEastAsia" w:hAnsiTheme="minorEastAsia" w:eastAsiaTheme="minorEastAsia" w:cstheme="minorEastAsia"/>
          <w:sz w:val="24"/>
          <w:szCs w:val="24"/>
        </w:rPr>
        <w:t>项目管理部对项目经费支出是否与预算一致性、业务活动是否符合公益性宗旨及捐赠协议等进行审核，财务部对票据的合法合规性、报销手续的完整性和合规性等进行审核，审核完成后由财务部统一完成记账和支付流程。</w:t>
      </w:r>
    </w:p>
    <w:p w14:paraId="3B661FF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第五十四条  </w:t>
      </w:r>
      <w:r>
        <w:rPr>
          <w:rFonts w:hint="eastAsia" w:asciiTheme="minorEastAsia" w:hAnsiTheme="minorEastAsia" w:eastAsiaTheme="minorEastAsia" w:cstheme="minorEastAsia"/>
          <w:sz w:val="24"/>
          <w:szCs w:val="24"/>
        </w:rPr>
        <w:t>公益项目经费必须专款专用，任何单位和个人不得以任何理由和方式截留、挤占和挪用项目资金。</w:t>
      </w:r>
    </w:p>
    <w:p w14:paraId="4C185A32">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jc w:val="center"/>
        <w:textAlignment w:val="auto"/>
        <w:rPr>
          <w:rStyle w:val="5"/>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lang w:val="en-US" w:eastAsia="zh-CN" w:bidi="ar-SA"/>
        </w:rPr>
        <w:t>第十四章</w:t>
      </w:r>
      <w:r>
        <w:rPr>
          <w:rFonts w:hint="eastAsia" w:asciiTheme="minorEastAsia" w:hAnsiTheme="minorEastAsia" w:cstheme="minorEastAsia"/>
          <w:b/>
          <w:bCs/>
          <w:color w:val="000000"/>
          <w:kern w:val="0"/>
          <w:sz w:val="24"/>
          <w:szCs w:val="24"/>
          <w:lang w:val="en-US" w:eastAsia="zh-CN" w:bidi="ar-SA"/>
        </w:rPr>
        <w:t xml:space="preserve"> </w:t>
      </w:r>
      <w:r>
        <w:rPr>
          <w:rStyle w:val="5"/>
          <w:rFonts w:hint="eastAsia" w:asciiTheme="minorEastAsia" w:hAnsiTheme="minorEastAsia" w:eastAsiaTheme="minorEastAsia" w:cstheme="minorEastAsia"/>
          <w:color w:val="000000"/>
          <w:sz w:val="24"/>
          <w:szCs w:val="24"/>
        </w:rPr>
        <w:t>财务交接</w:t>
      </w:r>
    </w:p>
    <w:p w14:paraId="0FA711B8">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第五十五条  </w:t>
      </w:r>
      <w:r>
        <w:rPr>
          <w:rFonts w:hint="eastAsia" w:asciiTheme="minorEastAsia" w:hAnsiTheme="minorEastAsia" w:eastAsiaTheme="minorEastAsia" w:cstheme="minorEastAsia"/>
          <w:sz w:val="24"/>
          <w:szCs w:val="24"/>
        </w:rPr>
        <w:t>财务人员变动或离职时，必须办理交接手续。财务人员在移交手续前，必须及时做好如下工作：</w:t>
      </w:r>
    </w:p>
    <w:p w14:paraId="0332917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1、</w:t>
      </w:r>
      <w:r>
        <w:rPr>
          <w:rFonts w:hint="eastAsia" w:asciiTheme="minorEastAsia" w:hAnsiTheme="minorEastAsia" w:eastAsiaTheme="minorEastAsia" w:cstheme="minorEastAsia"/>
          <w:sz w:val="24"/>
          <w:szCs w:val="24"/>
        </w:rPr>
        <w:t>已经受理的经济业务，必须编制记账凭证、完成各项报表；</w:t>
      </w:r>
    </w:p>
    <w:p w14:paraId="3A27286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sz w:val="24"/>
          <w:szCs w:val="24"/>
        </w:rPr>
        <w:t>登记相关账目时，双方必须签名确认；</w:t>
      </w:r>
    </w:p>
    <w:p w14:paraId="19DE80DA">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整理应移交的各项资料；</w:t>
      </w:r>
    </w:p>
    <w:p w14:paraId="200A174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编制移交清册，对移交的凭证、账册、报表、印鉴、支票、发票等会计资料及物品进行归类并登记；</w:t>
      </w:r>
    </w:p>
    <w:p w14:paraId="479B96D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对于电算化的财务资料，除打印成文档交接外，必须对软件密码、实物进行书面列明；</w:t>
      </w:r>
    </w:p>
    <w:p w14:paraId="076ACEE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对于现金及银行移交，必须当面清点，编制现金盘点表，银行编制余额调节表。</w:t>
      </w:r>
    </w:p>
    <w:p w14:paraId="3AFA379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第五十六条 </w:t>
      </w:r>
      <w:r>
        <w:rPr>
          <w:rFonts w:hint="eastAsia" w:asciiTheme="minorEastAsia" w:hAnsiTheme="minorEastAsia" w:eastAsiaTheme="minorEastAsia" w:cstheme="minorEastAsia"/>
          <w:sz w:val="24"/>
          <w:szCs w:val="24"/>
        </w:rPr>
        <w:t>出纳在交接前，发生账目或货币资金不相符时，必须清查原因，对于不符的事件处理完毕后方可办理交接。</w:t>
      </w:r>
    </w:p>
    <w:p w14:paraId="0641380B">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第五十七条  </w:t>
      </w:r>
      <w:r>
        <w:rPr>
          <w:rFonts w:hint="eastAsia" w:asciiTheme="minorEastAsia" w:hAnsiTheme="minorEastAsia" w:eastAsiaTheme="minorEastAsia" w:cstheme="minorEastAsia"/>
          <w:sz w:val="24"/>
          <w:szCs w:val="24"/>
        </w:rPr>
        <w:t>所有移交资料必须一式三份，交接双方各执一份，本组织存档一份。</w:t>
      </w:r>
    </w:p>
    <w:p w14:paraId="5A67B0A0">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sz w:val="24"/>
          <w:szCs w:val="24"/>
        </w:rPr>
      </w:pPr>
      <w:bookmarkStart w:id="2" w:name="_Toc271974350"/>
      <w:r>
        <w:rPr>
          <w:rFonts w:hint="eastAsia" w:asciiTheme="minorEastAsia" w:hAnsiTheme="minorEastAsia" w:eastAsiaTheme="minorEastAsia" w:cstheme="minorEastAsia"/>
          <w:b/>
          <w:bCs/>
          <w:kern w:val="0"/>
          <w:sz w:val="24"/>
          <w:szCs w:val="24"/>
          <w:lang w:val="en-US" w:eastAsia="zh-CN" w:bidi="ar-SA"/>
        </w:rPr>
        <w:t>第十五章</w:t>
      </w:r>
      <w:r>
        <w:rPr>
          <w:rFonts w:hint="eastAsia" w:asciiTheme="minorEastAsia" w:hAnsiTheme="minorEastAsia" w:cstheme="minorEastAsia"/>
          <w:b/>
          <w:bCs/>
          <w:kern w:val="0"/>
          <w:sz w:val="24"/>
          <w:szCs w:val="24"/>
          <w:lang w:val="en-US" w:eastAsia="zh-CN" w:bidi="ar-SA"/>
        </w:rPr>
        <w:t xml:space="preserve"> </w:t>
      </w:r>
      <w:r>
        <w:rPr>
          <w:rStyle w:val="5"/>
          <w:rFonts w:hint="eastAsia" w:asciiTheme="minorEastAsia" w:hAnsiTheme="minorEastAsia" w:eastAsiaTheme="minorEastAsia" w:cstheme="minorEastAsia"/>
          <w:sz w:val="24"/>
          <w:szCs w:val="24"/>
        </w:rPr>
        <w:t>财务监督和公开</w:t>
      </w:r>
      <w:bookmarkEnd w:id="2"/>
      <w:r>
        <w:rPr>
          <w:rStyle w:val="5"/>
          <w:rFonts w:hint="eastAsia" w:asciiTheme="minorEastAsia" w:hAnsiTheme="minorEastAsia" w:eastAsiaTheme="minorEastAsia" w:cstheme="minorEastAsia"/>
          <w:sz w:val="24"/>
          <w:szCs w:val="24"/>
        </w:rPr>
        <w:t>透明</w:t>
      </w:r>
    </w:p>
    <w:p w14:paraId="0D38E30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kern w:val="0"/>
          <w:sz w:val="24"/>
          <w:szCs w:val="24"/>
          <w:lang w:val="en-US" w:eastAsia="zh-CN" w:bidi="ar-SA"/>
        </w:rPr>
        <w:t xml:space="preserve">第五十八条  </w:t>
      </w:r>
      <w:r>
        <w:rPr>
          <w:rFonts w:hint="eastAsia" w:asciiTheme="minorEastAsia" w:hAnsiTheme="minorEastAsia" w:eastAsiaTheme="minorEastAsia" w:cstheme="minorEastAsia"/>
          <w:sz w:val="24"/>
          <w:szCs w:val="24"/>
        </w:rPr>
        <w:t>为了提高公信力，体现财务诚信、透明、制约的理念，本组织每年年终后由会计师事务所进行年度审计</w:t>
      </w:r>
      <w:r>
        <w:rPr>
          <w:rFonts w:hint="eastAsia" w:asciiTheme="minorEastAsia" w:hAnsiTheme="minorEastAsia" w:eastAsiaTheme="minorEastAsia" w:cstheme="minorEastAsia"/>
          <w:sz w:val="24"/>
          <w:szCs w:val="24"/>
          <w:lang w:eastAsia="zh-CN"/>
        </w:rPr>
        <w:t>。</w:t>
      </w:r>
    </w:p>
    <w:p w14:paraId="7CD99689">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第五十九条  </w:t>
      </w:r>
      <w:r>
        <w:rPr>
          <w:rFonts w:hint="eastAsia" w:asciiTheme="minorEastAsia" w:hAnsiTheme="minorEastAsia" w:eastAsiaTheme="minorEastAsia" w:cstheme="minorEastAsia"/>
          <w:sz w:val="24"/>
          <w:szCs w:val="24"/>
        </w:rPr>
        <w:t>本着对资助方负责的原则，本组织接受资助方进行的审计或其委托的审计。</w:t>
      </w:r>
    </w:p>
    <w:p w14:paraId="3E585B3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8" w:leftChars="0" w:firstLine="402" w:firstLineChars="0"/>
        <w:jc w:val="center"/>
        <w:textAlignment w:val="auto"/>
        <w:rPr>
          <w:rStyle w:val="5"/>
          <w:rFonts w:hint="eastAsia" w:asciiTheme="minorEastAsia" w:hAnsiTheme="minorEastAsia" w:eastAsiaTheme="minorEastAsia" w:cstheme="minorEastAsia"/>
          <w:sz w:val="24"/>
          <w:szCs w:val="24"/>
        </w:rPr>
      </w:pPr>
      <w:bookmarkStart w:id="3" w:name="_Toc271974351"/>
      <w:r>
        <w:rPr>
          <w:rFonts w:hint="eastAsia" w:asciiTheme="minorEastAsia" w:hAnsiTheme="minorEastAsia" w:eastAsiaTheme="minorEastAsia" w:cstheme="minorEastAsia"/>
          <w:b/>
          <w:bCs/>
          <w:kern w:val="0"/>
          <w:sz w:val="24"/>
          <w:szCs w:val="24"/>
          <w:lang w:val="en-US" w:eastAsia="zh-CN" w:bidi="ar-SA"/>
        </w:rPr>
        <w:t>第十六章</w:t>
      </w:r>
      <w:r>
        <w:rPr>
          <w:rFonts w:hint="eastAsia" w:asciiTheme="minorEastAsia" w:hAnsiTheme="minorEastAsia" w:cstheme="minorEastAsia"/>
          <w:b/>
          <w:bCs/>
          <w:kern w:val="0"/>
          <w:sz w:val="24"/>
          <w:szCs w:val="24"/>
          <w:lang w:val="en-US" w:eastAsia="zh-CN" w:bidi="ar-SA"/>
        </w:rPr>
        <w:t xml:space="preserve"> </w:t>
      </w:r>
      <w:r>
        <w:rPr>
          <w:rStyle w:val="5"/>
          <w:rFonts w:hint="eastAsia" w:asciiTheme="minorEastAsia" w:hAnsiTheme="minorEastAsia" w:eastAsiaTheme="minorEastAsia" w:cstheme="minorEastAsia"/>
          <w:sz w:val="24"/>
          <w:szCs w:val="24"/>
        </w:rPr>
        <w:t>附则</w:t>
      </w:r>
      <w:bookmarkEnd w:id="3"/>
    </w:p>
    <w:p w14:paraId="2F3948D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第六十条  </w:t>
      </w:r>
      <w:r>
        <w:rPr>
          <w:rFonts w:hint="eastAsia" w:asciiTheme="minorEastAsia" w:hAnsiTheme="minorEastAsia" w:eastAsiaTheme="minorEastAsia" w:cstheme="minorEastAsia"/>
          <w:sz w:val="24"/>
          <w:szCs w:val="24"/>
        </w:rPr>
        <w:t>本制度经理事会批准通过，</w:t>
      </w:r>
      <w:r>
        <w:rPr>
          <w:rFonts w:hint="eastAsia" w:asciiTheme="minorEastAsia" w:hAnsiTheme="minorEastAsia" w:eastAsiaTheme="minorEastAsia" w:cstheme="minorEastAsia"/>
          <w:sz w:val="24"/>
          <w:szCs w:val="24"/>
          <w:highlight w:val="none"/>
        </w:rPr>
        <w:t>自</w:t>
      </w:r>
      <w:r>
        <w:rPr>
          <w:rFonts w:hint="eastAsia" w:asciiTheme="minorEastAsia" w:hAnsiTheme="minorEastAsia" w:eastAsiaTheme="minorEastAsia" w:cstheme="minorEastAsia"/>
          <w:sz w:val="24"/>
          <w:szCs w:val="24"/>
          <w:highlight w:val="none"/>
          <w:lang w:val="en-US" w:eastAsia="zh-CN"/>
        </w:rPr>
        <w:t>2021年12月执行</w:t>
      </w:r>
      <w:r>
        <w:rPr>
          <w:rFonts w:hint="eastAsia" w:asciiTheme="minorEastAsia" w:hAnsiTheme="minorEastAsia" w:eastAsiaTheme="minorEastAsia" w:cstheme="minorEastAsia"/>
          <w:sz w:val="24"/>
          <w:szCs w:val="24"/>
          <w:highlight w:val="none"/>
        </w:rPr>
        <w:t>起</w:t>
      </w:r>
      <w:r>
        <w:rPr>
          <w:rFonts w:hint="eastAsia" w:asciiTheme="minorEastAsia" w:hAnsiTheme="minorEastAsia" w:eastAsiaTheme="minorEastAsia" w:cstheme="minorEastAsia"/>
          <w:sz w:val="24"/>
          <w:szCs w:val="24"/>
        </w:rPr>
        <w:t>执行。</w:t>
      </w:r>
    </w:p>
    <w:p w14:paraId="43E7CB1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1140" w:leftChars="0" w:hanging="7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szCs w:val="24"/>
          <w:lang w:val="en-US" w:eastAsia="zh-CN" w:bidi="ar-SA"/>
        </w:rPr>
        <w:t xml:space="preserve">第六十一条  </w:t>
      </w:r>
      <w:r>
        <w:rPr>
          <w:rFonts w:hint="eastAsia" w:asciiTheme="minorEastAsia" w:hAnsiTheme="minorEastAsia" w:eastAsiaTheme="minorEastAsia" w:cstheme="minorEastAsia"/>
          <w:sz w:val="24"/>
          <w:szCs w:val="24"/>
        </w:rPr>
        <w:t>本制度由财务部负责解释。如发生争议，最终解释权为理事会。</w:t>
      </w:r>
    </w:p>
    <w:p w14:paraId="0FFB24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p>
    <w:p w14:paraId="370C7B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p>
    <w:p w14:paraId="2CCF82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p>
    <w:p w14:paraId="032A15F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p>
    <w:p w14:paraId="78B5E705">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493165CC">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会计人员岗位职责</w:t>
      </w:r>
    </w:p>
    <w:p w14:paraId="17C8C29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为了加强单位的会计基础工作，建立科学的会计工作秩序，正确地行使国家赋予给会计人员的职权，提高会计管理水平，发挥会计在单位的财务管理的积极作用，结合本组织的实际，制定本会计人员工作规则：</w:t>
      </w:r>
    </w:p>
    <w:p w14:paraId="1E80711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第一条 会计人员必须贯彻执行国家的财经方针、政策、法律、制度，维护国家的利益，对经济活动进行严格的核算和监督；给单位提供一切真实完整的会计资料，提高资金的经济效益。</w:t>
      </w:r>
    </w:p>
    <w:p w14:paraId="32504FF4">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第二条</w:t>
      </w:r>
      <w:r>
        <w:rPr>
          <w:rFonts w:hint="eastAsia" w:asciiTheme="minorEastAsia" w:hAnsiTheme="minorEastAsia" w:eastAsiaTheme="minorEastAsia" w:cstheme="minorEastAsia"/>
          <w:kern w:val="0"/>
          <w:sz w:val="24"/>
          <w:szCs w:val="24"/>
          <w:lang w:val="en-US" w:eastAsia="zh-CN" w:bidi="ar-SA"/>
        </w:rPr>
        <w:t xml:space="preserve"> 会计人员必须加强政治学习，认真学习《会计法》《浙江省会计工作管理办法》《会计基础工作规范化管理办法》，不断地提高政治思想水平，坚持四项基本原则，忠于职守、遵纪守法、实事求是、廉洁奉公，全心全意为中心教育第一线服务。</w:t>
      </w:r>
    </w:p>
    <w:p w14:paraId="5D073712">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第三条</w:t>
      </w:r>
      <w:r>
        <w:rPr>
          <w:rFonts w:hint="eastAsia" w:asciiTheme="minorEastAsia" w:hAnsiTheme="minorEastAsia" w:eastAsiaTheme="minorEastAsia" w:cstheme="minorEastAsia"/>
          <w:kern w:val="0"/>
          <w:sz w:val="24"/>
          <w:szCs w:val="24"/>
          <w:lang w:val="en-US" w:eastAsia="zh-CN" w:bidi="ar-SA"/>
        </w:rPr>
        <w:t xml:space="preserve"> 努力地钻研业务，不断地丰富会计理论知识，提高业务工作能力，正确地处理会计账务，熟练运用计算技术和分析方法，做好本职工作，积极地参加上级的各种业务培训和继续教育，不断地更新专业水平。</w:t>
      </w:r>
    </w:p>
    <w:p w14:paraId="35B4F90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第四条</w:t>
      </w:r>
      <w:r>
        <w:rPr>
          <w:rFonts w:hint="eastAsia" w:asciiTheme="minorEastAsia" w:hAnsiTheme="minorEastAsia" w:eastAsiaTheme="minorEastAsia" w:cstheme="minorEastAsia"/>
          <w:kern w:val="0"/>
          <w:sz w:val="24"/>
          <w:szCs w:val="24"/>
          <w:lang w:val="en-US" w:eastAsia="zh-CN" w:bidi="ar-SA"/>
        </w:rPr>
        <w:t xml:space="preserve"> 在分工明确的前提下，出纳和会计发扬协作的精神，紧密配合，共同做好会计工作，做到事事有人管、人人有专责、办事有要求、工作有检查，保证会计有秩序地进行。</w:t>
      </w:r>
    </w:p>
    <w:p w14:paraId="5C4072CA">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第五条</w:t>
      </w:r>
      <w:r>
        <w:rPr>
          <w:rFonts w:hint="eastAsia" w:asciiTheme="minorEastAsia" w:hAnsiTheme="minorEastAsia" w:eastAsiaTheme="minorEastAsia" w:cstheme="minorEastAsia"/>
          <w:kern w:val="0"/>
          <w:sz w:val="24"/>
          <w:szCs w:val="24"/>
          <w:lang w:val="en-US" w:eastAsia="zh-CN" w:bidi="ar-SA"/>
        </w:rPr>
        <w:t xml:space="preserve"> 会计必须认真地按财政部统一的会计科目使用，认真填制会计凭证，对不合法的凭证有权退回给经办人；填制凭证字迹清晰、工整、不得潦草；认真地按规定设置总账、明细账、日记账，认真地记账、算账、报账。</w:t>
      </w:r>
    </w:p>
    <w:p w14:paraId="09C0A29A">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第六条</w:t>
      </w:r>
      <w:r>
        <w:rPr>
          <w:rFonts w:hint="eastAsia" w:asciiTheme="minorEastAsia" w:hAnsiTheme="minorEastAsia" w:eastAsiaTheme="minorEastAsia" w:cstheme="minorEastAsia"/>
          <w:kern w:val="0"/>
          <w:sz w:val="24"/>
          <w:szCs w:val="24"/>
          <w:lang w:val="en-US" w:eastAsia="zh-CN" w:bidi="ar-SA"/>
        </w:rPr>
        <w:t xml:space="preserve"> 会计人员认真地书写阿拉伯数字，数字大写应准确书写：壹、贰、叁、肆、伍、陆、柒、捌、玖、拾、佰、仟、万、亿、元、角、分、零、正，不得马虎。</w:t>
      </w:r>
    </w:p>
    <w:p w14:paraId="2674266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第七条</w:t>
      </w:r>
      <w:r>
        <w:rPr>
          <w:rFonts w:hint="eastAsia" w:asciiTheme="minorEastAsia" w:hAnsiTheme="minorEastAsia" w:eastAsiaTheme="minorEastAsia" w:cstheme="minorEastAsia"/>
          <w:kern w:val="0"/>
          <w:sz w:val="24"/>
          <w:szCs w:val="24"/>
          <w:lang w:val="en-US" w:eastAsia="zh-CN" w:bidi="ar-SA"/>
        </w:rPr>
        <w:t xml:space="preserve"> 会计人员要按照国家和《会计档案管理办法》的规定和要求，对各种会计凭证、会计账薄、会计报表、财务计划等会计资料，定期收集审查核对，整理立卷，编制目录，装订成册，指定专人保管，以防损坏。</w:t>
      </w:r>
    </w:p>
    <w:p w14:paraId="67449611">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第八条</w:t>
      </w:r>
      <w:r>
        <w:rPr>
          <w:rFonts w:hint="eastAsia" w:asciiTheme="minorEastAsia" w:hAnsiTheme="minorEastAsia" w:eastAsiaTheme="minorEastAsia" w:cstheme="minorEastAsia"/>
          <w:kern w:val="0"/>
          <w:sz w:val="24"/>
          <w:szCs w:val="24"/>
          <w:lang w:val="en-US" w:eastAsia="zh-CN" w:bidi="ar-SA"/>
        </w:rPr>
        <w:t xml:space="preserve"> 会计人员离职前要做好移交工作，并造移交清册一式三份，交接双方各执一份，存档一份。接替人员应继续使用移交的账薄，不得自已另立新账，以保证账薄本的连续性。</w:t>
      </w:r>
    </w:p>
    <w:p w14:paraId="7965739F">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第九条</w:t>
      </w:r>
      <w:r>
        <w:rPr>
          <w:rFonts w:hint="eastAsia" w:asciiTheme="minorEastAsia" w:hAnsiTheme="minorEastAsia" w:eastAsiaTheme="minorEastAsia" w:cstheme="minorEastAsia"/>
          <w:kern w:val="0"/>
          <w:sz w:val="24"/>
          <w:szCs w:val="24"/>
          <w:lang w:val="en-US" w:eastAsia="zh-CN" w:bidi="ar-SA"/>
        </w:rPr>
        <w:t xml:space="preserve"> 定期地编制财务分析报告、财务预测和财务说明书，加强资金的经济效益。</w:t>
      </w:r>
    </w:p>
    <w:p w14:paraId="230B4B0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第十条</w:t>
      </w:r>
      <w:r>
        <w:rPr>
          <w:rFonts w:hint="eastAsia" w:asciiTheme="minorEastAsia" w:hAnsiTheme="minorEastAsia" w:eastAsiaTheme="minorEastAsia" w:cstheme="minorEastAsia"/>
          <w:kern w:val="0"/>
          <w:sz w:val="24"/>
          <w:szCs w:val="24"/>
          <w:lang w:val="en-US" w:eastAsia="zh-CN" w:bidi="ar-SA"/>
        </w:rPr>
        <w:t xml:space="preserve"> 及时地上报财务报表和上报每月财务的状况，及时地审报上缴各种税金，为单位决策方案提供资料。</w:t>
      </w:r>
    </w:p>
    <w:p w14:paraId="7FC209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第十一条</w:t>
      </w:r>
      <w:r>
        <w:rPr>
          <w:rFonts w:hint="eastAsia" w:asciiTheme="minorEastAsia" w:hAnsiTheme="minorEastAsia" w:eastAsiaTheme="minorEastAsia" w:cstheme="minorEastAsia"/>
          <w:kern w:val="0"/>
          <w:sz w:val="24"/>
          <w:szCs w:val="24"/>
          <w:lang w:val="en-US" w:eastAsia="zh-CN" w:bidi="ar-SA"/>
        </w:rPr>
        <w:t xml:space="preserve"> 为了保证电算化数据的可靠，必须及时地做好数据备份工作，定期地打印账册和报表。</w:t>
      </w:r>
      <w:r>
        <w:rPr>
          <w:rFonts w:hint="eastAsia" w:asciiTheme="minorEastAsia" w:hAnsiTheme="minorEastAsia" w:eastAsiaTheme="minorEastAsia" w:cstheme="minorEastAsia"/>
          <w:kern w:val="0"/>
          <w:sz w:val="24"/>
          <w:szCs w:val="24"/>
          <w:lang w:val="en-US" w:eastAsia="zh-CN" w:bidi="ar-SA"/>
        </w:rPr>
        <w:br w:type="page"/>
      </w:r>
    </w:p>
    <w:p w14:paraId="6B82CC5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jc w:val="center"/>
        <w:textAlignment w:val="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出纳岗位工作职责</w:t>
      </w:r>
    </w:p>
    <w:p w14:paraId="736A8B0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p>
    <w:p w14:paraId="1B4AD076">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第一条 严格遵守财经纪律和国家有关现金管理和银行结算制度，按照规定根据稽核人员审核签章的收付款凭证，进行复核，办理款项收付；对重大的开支必须经过主办会计、单位领导审核方可办理，对不符合规定的收、付凭证有权拒绝受理或退回要求重制。</w:t>
      </w:r>
    </w:p>
    <w:p w14:paraId="084AC9E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第二条 遵守现金保管有关规定，确保库存现金安全。不得挪用资金。保守保险箱密码，保管好钥匙，不得任意转交他人代管。遵守现金库存限额的规定，超过库存限额部分的现金及时存入银行。 </w:t>
      </w:r>
    </w:p>
    <w:p w14:paraId="401AB437">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第三条 保管和使用好有关印章和空白支票、空白收据。随时掌握银行存款余额，严禁签发空头支票；对填写错误的支票必须加盖“作废”戳记，与存根一并保存；支票遗失要及时办理挂失手续；对空白收据要妥善保管，并认真按规定办理领用、注销手续。</w:t>
      </w:r>
    </w:p>
    <w:p w14:paraId="5E1FCFFD">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第四条 及时确认记录收付款凭证，核对账面余额与库存现金，按照规定管理好银行存款，每月与银行对账，保持双方余额的一致，未达账项要及时查询、清理。</w:t>
      </w:r>
    </w:p>
    <w:p w14:paraId="67A05A22">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第五条 负责单位职工加班费、差旅费等日常报销及临时工工资的发放工作。</w:t>
      </w:r>
    </w:p>
    <w:p w14:paraId="311011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第六条 认真完成财务负责人交办的其它事项。</w:t>
      </w:r>
    </w:p>
    <w:p w14:paraId="4E44BD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bidi="ar-SA"/>
        </w:rPr>
      </w:pPr>
    </w:p>
    <w:p w14:paraId="1AAB9A2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933B1"/>
    <w:multiLevelType w:val="singleLevel"/>
    <w:tmpl w:val="0F9933B1"/>
    <w:lvl w:ilvl="0" w:tentative="0">
      <w:start w:val="1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B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2025-02-24T06:52:41Z</dcterms:created>
  <dc:creator>xingshang888</dc:creator>
  <cp:lastModifiedBy>源丁</cp:lastModifiedBy>
  <dcterms:modified xsi:type="dcterms:W3CDTF">2025-02-24T06:52:48Z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eyJoZGlkIjoiNGI1MTU1NmM5N2E3ODIzOTcxZGJhNDU1ZmQ0MzE0NDEiLCJ1c2VySWQiOiIzOTMwNDk3ODIifQ==</vt:lpwstr>
  </property>
  <property fmtid="{D5CDD505-2E9C-101B-9397-08002B2CF9AE}" pid="4" name="ICV">
    <vt:lpwstr>4140AC5F61F84E1D81842166770C3328_12</vt:lpwstr>
  </property>
</Properties>
</file>